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b/>
        </w:rPr>
      </w:pPr>
      <w:r>
        <w:rPr>
          <w:rFonts w:hint="eastAsia" w:ascii="宋体" w:hAnsi="宋体"/>
          <w:b/>
          <w:color w:val="000000"/>
          <w:sz w:val="24"/>
        </w:rPr>
        <w:t>附件1 ：WEB资源发布系统（反向代理系统）整体要求及相关功能、配置要求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753"/>
        <w:gridCol w:w="6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6319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3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整体要求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整体要求</w:t>
            </w:r>
          </w:p>
        </w:tc>
        <w:tc>
          <w:tcPr>
            <w:tcW w:w="6319" w:type="dxa"/>
          </w:tcPr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系统应实现对资源的统一发布与管理，包括灵活的资源访问控制策略管理，资源安全策略管理及相关审计，资源状态实时监控告警，以及基于全量日志的多维度统计分析。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3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配置项要求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配置项要求</w:t>
            </w:r>
          </w:p>
        </w:tc>
        <w:tc>
          <w:tcPr>
            <w:tcW w:w="6319" w:type="dxa"/>
          </w:tcPr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1）★要求系统支持管理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个网站；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实现免费H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TTPS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证书的自动更新。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3）</w:t>
            </w: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★要求3节点部署，1个管理点可作为工作节点使用，2个工作节点，其中一节点为虚机，另一节点为软硬一体，硬件配置不低于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E3 1230 V5  3.40GHz，四核8线程，工业级内存16G，6个千兆电口，4个万兆光口，工业级固态硬盘512G，300W工业级冗余电源。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4）</w:t>
            </w: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要求软硬件原厂质保期≥3年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3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功能要求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资源管理要求</w:t>
            </w:r>
          </w:p>
        </w:tc>
        <w:tc>
          <w:tcPr>
            <w:tcW w:w="6319" w:type="dxa"/>
          </w:tcPr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支持HTTP、HTTPS协议资源发布；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支持IPv4与IPv6资源的相互转换以及资源发布；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支持不同后端资源端口通过统一端口资源发布；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支持对外通过不同端口资源发布；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支持NTLM协议、WebSocket协议、SNI协议、TCP长连接资源发布；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支持通过URL的路径资源发布；（例如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www.example.com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、w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ww.example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com/path1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www.exapmle.com/path2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可分为三种不同的资源进行管理和配置）；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支持资源的批量导入导出、批量删除、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批量发布/关闭网站、批量修改分组、批量定义错误页面、批量修改访问策略、批量修改安全策略、批量修改备案信息、批量启用/关闭HTTPS、批量修改v4/v6发布、批量修改负载均衡、批量修改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HTTPS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算法、批量修改网站标签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支持对资源的自定义分组及分级，并支持资源树结构的展现；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支持资源标签管理，支持资源标签多对多管理关系；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支持资源生命周期管理，支持用户自定义资源备案信息，包括申请信息及资源有效期，支持资源到期时自动告警，支持资源到期后自动停用；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支持HTTPS类型Web资源的证书管理，支持系统内自建证书，支持自动合并多条证书生成完整证书链；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支持系统直接签发可信证书，支持联动D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NS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服务器签发通配符可信证书，支持系统签发证书自动续期；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支持对资源进行备份，可自定义备份的生成时间及周期；支持对异常备份进行告警；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指定不同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IP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来源用户通过相同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资源（域名或路径）访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问不同的后端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支持优化网页代码，减少单次传输流量，提升浏览器渲染效率；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支持对后端资源文件（例如图片、视频、代码等）进行缓存，降低后端服务器压力/负载，提升系统整体性能；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支持基于IP哈希、会话保持和基于负载的负载均衡调度方式；支持主动检测后端健康状态自动切换负载均衡服务器；支持负载均衡服务器组管理；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支持负载均衡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备份服务器，当运行负载均衡服务器都失效时启用；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支持对单个资源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自定义不同错误状态码的错误页面或错误跳转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；支持对资源访问策略组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自定义不同错误状态码的错误页面或错误跳转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；支持全局默认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错误状态码的错误页面或错误跳转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支持对后端资源的HTTP响应头和响应体修改后返回给用户；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支持全局网页敏感词处理；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支持自动配合后端资源防盗链安全策略； 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支持对后端资源传递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用户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真实IP；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支持通过微信对资源一键断网；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支持配置多个网卡，实现多线路发布，取源与服务网卡分离；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访问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控制要求</w:t>
            </w:r>
          </w:p>
        </w:tc>
        <w:tc>
          <w:tcPr>
            <w:tcW w:w="6319" w:type="dxa"/>
          </w:tcPr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支持对资源进行访问控制；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支持资源根据路径进行访问控制；例如管理后台路径只允许校内访问、校外禁止；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访问控制方式包括直接访问、认证访问、禁止访问、镜像访问；认证访问为用户进行认证后继续访问，镜像访问为完全阻断后端资源数据流量同时提供网页查看服务；访问控制对象包括IP组，认证用户组等；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支持对认证用户进行分组，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对LDAP、RADIUS、OAuth、C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AS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、企业微信、钉钉设置不同分组规则；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支持按照每年定期生效、每周定日生效的、每天定时生效的访问策略；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支持配置策略有效期；支持对策略有效期进行统一管理；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支持策略更改进行历史记录，并支持策略更改撤回操作；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支持自定义单个资源认证时登录页面；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支持自定义单个资源认证时的认证源；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支持本地用户管理，支持对接外部统一认证系统，包括LDAP、RADIUS、OAuth、C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AS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、企业微信、钉钉等；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支持多种登录方式，包括用户名密码、短信认证、微信认证等；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支持对资源访问者进行实名制认证后访问；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动态禁止频繁登录失败的用户再次尝试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，支持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自定义认证失败频率的阈值以及再次登陆的时间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支持辅助Radius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LDAP等需要密码认证的认证源进行弱密码检测；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支持自定义单个本地账号的有效期；</w:t>
            </w:r>
          </w:p>
          <w:p>
            <w:pPr>
              <w:pStyle w:val="6"/>
              <w:numPr>
                <w:ilvl w:val="0"/>
                <w:numId w:val="2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支持对资源访问进行速率限制；支持对IP组设置白名单解除限制；支持对不同用户终端类型设置不同速率限制；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安全防护要求</w:t>
            </w:r>
          </w:p>
        </w:tc>
        <w:tc>
          <w:tcPr>
            <w:tcW w:w="6319" w:type="dxa"/>
          </w:tcPr>
          <w:p>
            <w:pPr>
              <w:pStyle w:val="6"/>
              <w:numPr>
                <w:ilvl w:val="0"/>
                <w:numId w:val="3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支持对资源进行真人验证；</w:t>
            </w:r>
          </w:p>
          <w:p>
            <w:pPr>
              <w:pStyle w:val="6"/>
              <w:numPr>
                <w:ilvl w:val="0"/>
                <w:numId w:val="3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支持对资源进行DDoS防护；</w:t>
            </w:r>
          </w:p>
          <w:p>
            <w:pPr>
              <w:pStyle w:val="6"/>
              <w:numPr>
                <w:ilvl w:val="0"/>
                <w:numId w:val="3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支持对资源进行网页防篡改防护；</w:t>
            </w:r>
          </w:p>
          <w:p>
            <w:pPr>
              <w:pStyle w:val="6"/>
              <w:numPr>
                <w:ilvl w:val="0"/>
                <w:numId w:val="3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支持对资源进行XSS攻击防护；</w:t>
            </w:r>
          </w:p>
          <w:p>
            <w:pPr>
              <w:pStyle w:val="6"/>
              <w:numPr>
                <w:ilvl w:val="0"/>
                <w:numId w:val="3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支持对资源进行SQL注入攻击防护；</w:t>
            </w:r>
          </w:p>
          <w:p>
            <w:pPr>
              <w:pStyle w:val="6"/>
              <w:numPr>
                <w:ilvl w:val="0"/>
                <w:numId w:val="3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支持对攻击者进行自动封禁；</w:t>
            </w:r>
          </w:p>
          <w:p>
            <w:pPr>
              <w:pStyle w:val="6"/>
              <w:numPr>
                <w:ilvl w:val="0"/>
                <w:numId w:val="3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支持对安全规则库进行更新；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监控告警</w:t>
            </w:r>
          </w:p>
        </w:tc>
        <w:tc>
          <w:tcPr>
            <w:tcW w:w="6319" w:type="dxa"/>
          </w:tcPr>
          <w:p>
            <w:pPr>
              <w:pStyle w:val="6"/>
              <w:numPr>
                <w:ilvl w:val="0"/>
                <w:numId w:val="4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支持对资源的可达性巡检；</w:t>
            </w:r>
          </w:p>
          <w:p>
            <w:pPr>
              <w:pStyle w:val="6"/>
              <w:numPr>
                <w:ilvl w:val="0"/>
                <w:numId w:val="4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支持跟踪用户访问实时监控资源可达性；</w:t>
            </w:r>
          </w:p>
          <w:p>
            <w:pPr>
              <w:pStyle w:val="6"/>
              <w:numPr>
                <w:ilvl w:val="0"/>
                <w:numId w:val="4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支持对不活跃（僵尸网站）网站进行监控；</w:t>
            </w:r>
          </w:p>
          <w:p>
            <w:pPr>
              <w:pStyle w:val="6"/>
              <w:numPr>
                <w:ilvl w:val="0"/>
                <w:numId w:val="4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支持对网站证书有效期进行监控</w:t>
            </w:r>
          </w:p>
          <w:p>
            <w:pPr>
              <w:pStyle w:val="6"/>
              <w:numPr>
                <w:ilvl w:val="0"/>
                <w:numId w:val="4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支持基于异常持续时间、发生频次的告警策略管理；</w:t>
            </w:r>
          </w:p>
          <w:p>
            <w:pPr>
              <w:pStyle w:val="6"/>
              <w:numPr>
                <w:ilvl w:val="0"/>
                <w:numId w:val="4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支持通过短信、邮件向管理员发送告警通知消息；</w:t>
            </w:r>
          </w:p>
          <w:p>
            <w:pPr>
              <w:pStyle w:val="6"/>
              <w:numPr>
                <w:ilvl w:val="0"/>
                <w:numId w:val="4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支持通过微信告警服务平台发送告警通知消息，只需关注即可使用；</w:t>
            </w:r>
          </w:p>
          <w:p>
            <w:pPr>
              <w:pStyle w:val="6"/>
              <w:numPr>
                <w:ilvl w:val="0"/>
                <w:numId w:val="4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支持根据不同的告警类型和对象选择不同的告警接收者。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日志统计分析</w:t>
            </w:r>
          </w:p>
        </w:tc>
        <w:tc>
          <w:tcPr>
            <w:tcW w:w="6319" w:type="dxa"/>
          </w:tcPr>
          <w:p>
            <w:pPr>
              <w:pStyle w:val="6"/>
              <w:numPr>
                <w:ilvl w:val="0"/>
                <w:numId w:val="5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支持记录与查询全量日志，包括用户账号、用户IP、终端、请求时间、访问URL、请求结果等；</w:t>
            </w:r>
          </w:p>
          <w:p>
            <w:pPr>
              <w:pStyle w:val="6"/>
              <w:numPr>
                <w:ilvl w:val="0"/>
                <w:numId w:val="5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支持根据访问量、浏览器、操作系统、设备类型、请求来源地理位置进行统计分析，并可根据时间段及不同时间维度（日、周、月、年）进行统计，通过可视化图表展示变化趋势；</w:t>
            </w:r>
          </w:p>
          <w:p>
            <w:pPr>
              <w:pStyle w:val="6"/>
              <w:numPr>
                <w:ilvl w:val="0"/>
                <w:numId w:val="5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支持日志至少存储1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天，存储日志可实时查询；</w:t>
            </w:r>
          </w:p>
          <w:p>
            <w:pPr>
              <w:pStyle w:val="6"/>
              <w:numPr>
                <w:ilvl w:val="0"/>
                <w:numId w:val="5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支持根据用户的访问HTTP协议（h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ttp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https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http2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）以及IP协议（I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Pv4/IPv6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）进行统计；</w:t>
            </w:r>
          </w:p>
          <w:p>
            <w:pPr>
              <w:pStyle w:val="6"/>
              <w:numPr>
                <w:ilvl w:val="0"/>
                <w:numId w:val="5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支持自定义大屏，将用户关注或常用的内容添加至大屏；支持提供默认大屏模版；支持拖拽方式调整布局；</w:t>
            </w:r>
          </w:p>
          <w:p>
            <w:pPr>
              <w:pStyle w:val="6"/>
              <w:numPr>
                <w:ilvl w:val="0"/>
                <w:numId w:val="5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支持存储资源性能数据信息并进行统计分析，包括请求数、响应数、流量大小、错误数等，并可根据时间段及不同时间维度（日、周、月、年）进行统计，通过可视化图表展示变化趋势；</w:t>
            </w:r>
          </w:p>
          <w:p>
            <w:pPr>
              <w:pStyle w:val="6"/>
              <w:numPr>
                <w:ilvl w:val="0"/>
                <w:numId w:val="5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支持统计分析攻击行为，包括攻击来源、攻击URL、攻击信息；</w:t>
            </w:r>
          </w:p>
          <w:p>
            <w:pPr>
              <w:pStyle w:val="6"/>
              <w:numPr>
                <w:ilvl w:val="0"/>
                <w:numId w:val="5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支持用户自定义统计报表；</w:t>
            </w:r>
          </w:p>
          <w:p>
            <w:pPr>
              <w:pStyle w:val="6"/>
              <w:numPr>
                <w:ilvl w:val="0"/>
                <w:numId w:val="5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支持对接专业的日志分析平台，实现将以IP标识的日志转化为以终端+账号为标识。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3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系统构架要求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安全要求</w:t>
            </w:r>
          </w:p>
        </w:tc>
        <w:tc>
          <w:tcPr>
            <w:tcW w:w="6319" w:type="dxa"/>
          </w:tcPr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支持通过HTTPS、SSH协议进行管理；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支持管理分析端和业务端独立部署，实现配置的统一管理和下发，可根据业务需要实时在线扩容，保障业务的独立平稳运行；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支持在线升级系统且无需重启，保证业务的连续性；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配置数据、日志数据分别采用专用数据库存储，优化数据存储结构，提升数据存取效率；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业务端支持HA方式，避免出现单点故障；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支持自动定期系统配置备份，并可通过备份进行系统恢复；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支持监控系统自身运行状态，包括CPU、内存、负载状态、网卡流量以及磁盘使用情况；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支持管理端与业务端的时钟同步；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支持操作日志的记录与查询；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支持系统用户的权限管理，系统管理员可管理所有资源并自定义域管理员的管理域，域管理员只可对指定域内资源进行管理。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系统用户对接LDAP、CAS等认证服务器，只有有权限的认证用户才能够进行操作；</w:t>
            </w:r>
          </w:p>
          <w:p>
            <w:pPr>
              <w:pStyle w:val="6"/>
              <w:numPr>
                <w:ilvl w:val="0"/>
                <w:numId w:val="6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支持系统用户双因子认证登录，密码定期修改；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性能要求</w:t>
            </w:r>
          </w:p>
        </w:tc>
        <w:tc>
          <w:tcPr>
            <w:tcW w:w="6319" w:type="dxa"/>
          </w:tcPr>
          <w:p>
            <w:pPr>
              <w:pStyle w:val="6"/>
              <w:numPr>
                <w:ilvl w:val="0"/>
                <w:numId w:val="7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4核CPU（3.10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GH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z），8G内存环境下并发访问数不低于30000次每秒；</w:t>
            </w:r>
          </w:p>
          <w:p>
            <w:pPr>
              <w:pStyle w:val="6"/>
              <w:numPr>
                <w:ilvl w:val="0"/>
                <w:numId w:val="7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可通过增加业务端数量横向扩展系统性能。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界面展现要求</w:t>
            </w:r>
          </w:p>
        </w:tc>
        <w:tc>
          <w:tcPr>
            <w:tcW w:w="6319" w:type="dxa"/>
          </w:tcPr>
          <w:p>
            <w:pPr>
              <w:pStyle w:val="6"/>
              <w:numPr>
                <w:ilvl w:val="0"/>
                <w:numId w:val="8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支持多种浏览器，要求支持在iOS（iPhone/iPad）、Android等操作系统的移动设备展现；无需安装插件即可在PC和移动端实现所有管理功能；</w:t>
            </w:r>
          </w:p>
          <w:p>
            <w:pPr>
              <w:pStyle w:val="6"/>
              <w:numPr>
                <w:ilvl w:val="0"/>
                <w:numId w:val="8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要求所有图形采用矢量图展示方式，要求在任意浏览器放大缩小不失真不变形；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部署方式要求</w:t>
            </w:r>
          </w:p>
        </w:tc>
        <w:tc>
          <w:tcPr>
            <w:tcW w:w="6319" w:type="dxa"/>
          </w:tcPr>
          <w:p>
            <w:pPr>
              <w:pStyle w:val="6"/>
              <w:numPr>
                <w:ilvl w:val="0"/>
                <w:numId w:val="9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提供与操作系统、数据库以及其他平台软件深度整合的统一介质，能够实现操作系统、数据库、其他平台软件和系统的统一安装；</w:t>
            </w:r>
          </w:p>
          <w:p>
            <w:pPr>
              <w:pStyle w:val="6"/>
              <w:numPr>
                <w:ilvl w:val="0"/>
                <w:numId w:val="9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支持多种安装方式，包括ISO及虚机模板；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3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</w:tc>
        <w:tc>
          <w:tcPr>
            <w:tcW w:w="6319" w:type="dxa"/>
          </w:tcPr>
          <w:p>
            <w:pPr>
              <w:pStyle w:val="6"/>
              <w:numPr>
                <w:ilvl w:val="0"/>
                <w:numId w:val="10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所投产品厂商应当通过ISO9001质量体系认证，提供证书复印件；</w:t>
            </w:r>
          </w:p>
          <w:p>
            <w:pPr>
              <w:pStyle w:val="6"/>
              <w:numPr>
                <w:ilvl w:val="0"/>
                <w:numId w:val="10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所有产品非OEM产品，提供软件著作权登记证书复印件；</w:t>
            </w:r>
          </w:p>
          <w:p>
            <w:pPr>
              <w:pStyle w:val="6"/>
              <w:numPr>
                <w:ilvl w:val="0"/>
                <w:numId w:val="10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为获得更好的服务质量，要求产品厂商应当为ITSS会员单位并提供在线查询截图；</w:t>
            </w:r>
          </w:p>
          <w:p>
            <w:pPr>
              <w:pStyle w:val="6"/>
              <w:numPr>
                <w:ilvl w:val="0"/>
                <w:numId w:val="10"/>
              </w:num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要求产品获得IPv6 Ready Phase-2金牌认证，并提供相关证明文件。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818C4"/>
    <w:multiLevelType w:val="multilevel"/>
    <w:tmpl w:val="08C818C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AC3A3F"/>
    <w:multiLevelType w:val="multilevel"/>
    <w:tmpl w:val="18AC3A3F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DC61B6"/>
    <w:multiLevelType w:val="multilevel"/>
    <w:tmpl w:val="39DC61B6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2B7EA4"/>
    <w:multiLevelType w:val="multilevel"/>
    <w:tmpl w:val="402B7EA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460D12"/>
    <w:multiLevelType w:val="multilevel"/>
    <w:tmpl w:val="40460D12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A44AD6"/>
    <w:multiLevelType w:val="multilevel"/>
    <w:tmpl w:val="42A44AD6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6B0324"/>
    <w:multiLevelType w:val="multilevel"/>
    <w:tmpl w:val="536B032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BE4B1B"/>
    <w:multiLevelType w:val="multilevel"/>
    <w:tmpl w:val="5BBE4B1B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B887F57"/>
    <w:multiLevelType w:val="multilevel"/>
    <w:tmpl w:val="6B887F57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D679AD"/>
    <w:multiLevelType w:val="multilevel"/>
    <w:tmpl w:val="7FD679AD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2M3ZWZmZWJhZmMxNjgxZTNjMWRjMDZiYzA2MWIifQ=="/>
  </w:docVars>
  <w:rsids>
    <w:rsidRoot w:val="00000000"/>
    <w:rsid w:val="75F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240"/>
      <w:jc w:val="center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2022-07-18T14:06:13Z</dcterms:created>
  <dc:creator>apple</dc:creator>
  <cp:lastModifiedBy>apple</cp:lastModifiedBy>
  <dcterms:modified xsi:type="dcterms:W3CDTF">2022-07-18T14:06:27Z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235740153E25461BB8EDF5124EBE2309</vt:lpwstr>
  </property>
</Properties>
</file>