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spacing w:line="460" w:lineRule="exact"/>
        <w:jc w:val="left"/>
        <w:rPr>
          <w:rFonts w:hint="eastAsia" w:ascii="仿宋_GB2312" w:hAnsi="仿宋_GB2312" w:eastAsia="仿宋_GB2312" w:cs="仿宋_GB2312"/>
          <w:sz w:val="32"/>
          <w:szCs w:val="32"/>
        </w:rPr>
      </w:pPr>
    </w:p>
    <w:p>
      <w:pPr>
        <w:spacing w:line="400" w:lineRule="atLeast"/>
        <w:jc w:val="center"/>
        <w:rPr>
          <w:rFonts w:hint="eastAsia" w:ascii="宋体" w:hAnsi="宋体" w:cs="宋体"/>
          <w:b/>
          <w:sz w:val="36"/>
          <w:szCs w:val="36"/>
        </w:rPr>
      </w:pPr>
      <w:r>
        <w:rPr>
          <w:rFonts w:hint="eastAsia" w:ascii="宋体" w:hAnsi="宋体" w:cs="宋体"/>
          <w:b/>
          <w:sz w:val="36"/>
          <w:szCs w:val="36"/>
        </w:rPr>
        <w:t>浙江越秀外国语学院本科专业自评报告撰写指南</w:t>
      </w:r>
    </w:p>
    <w:p>
      <w:pPr>
        <w:jc w:val="center"/>
        <w:rPr>
          <w:b/>
          <w:sz w:val="28"/>
          <w:szCs w:val="28"/>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依据上级相关文件精神，为切实规范本科专业评估工作，提升自评报告的撰写质量，特编制自评报告撰写指南。</w:t>
      </w:r>
    </w:p>
    <w:p>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一、基本原则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1.主体性原则。要充分发挥学院、专业在专业建设中的主体作用，深入研究专业建设的核心问题和人才培养中的突出问题。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2.针对性原则。要关注专业和人才培养定位、教师对教学工作的投入等人才培养质量关键问题。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3.实证性原则。要以专业发展的事实及数据为支撑。</w:t>
      </w:r>
    </w:p>
    <w:p>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二、自评报告撰写的基本内容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自评报告分四个部分，即：专业概况、专业发展现状、专业特色和优势、存在的问题与整改措施。</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（一）专业概况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专业的设置时间及沿革情况</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（二）专业发展现状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围绕本科专业评估指标体系，从定位与目标、师资队伍、教学资源、培养过程、学生发展、质量保障等专业发展的要素着手，对专业发展现状进行剖析。各方面内容如下：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1.定位与目标。介绍专业定位及确定依据、专业建设规划及确定依据、专业培养目标、标准及确定依据、专业培养方案及确定依据，阐述专业定位和服务面向、人才培养目标和制定依据等。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2.师资队伍。介绍专业师资队伍状况，包括数量与结构、教育教学水平、教师教学投入、教师发展与服务等等，重点关注教师教育教学水平和教师教学的投入程度。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3.教学资源。在经费投入、教学设施、课程资源、社会资源等方面，不仅考核硬件的建设情况，更要重点考核教学资源的学生利用程度以及在学生能力培养方面的作用。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培养过程。介绍培养方案、教学改革、课堂教学、实践教学、第二课堂、开放教学等方面情况，重点关注“三个融合”与“四个协同”的落实和推进情况、“外语+战略”实施情况、课堂教学创新行动计划落实情况 、双语课程建设及教学效果等。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5.学生发展。介绍招生及生源情况、学生指导与服务、学风与学习效果、就业与发展等方面措施与成果。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6.质量保障。</w:t>
      </w:r>
      <w:r>
        <w:rPr>
          <w:rFonts w:hint="eastAsia" w:ascii="仿宋_GB2312" w:hAnsi="仿宋_GB2312" w:eastAsia="仿宋_GB2312" w:cs="仿宋_GB2312"/>
          <w:color w:val="000000"/>
          <w:sz w:val="32"/>
          <w:szCs w:val="32"/>
        </w:rPr>
        <w:t>说明涵盖教学过程主要环节（包括培养方案制定、培养计划实施、理论教学要求、考试环节、实践环节、毕业设计等）的教学质量监控机制、措施和实施情况。</w:t>
      </w:r>
      <w:r>
        <w:rPr>
          <w:rFonts w:hint="eastAsia" w:ascii="仿宋_GB2312" w:hAnsi="仿宋_GB2312" w:eastAsia="仿宋_GB2312" w:cs="仿宋_GB2312"/>
          <w:sz w:val="32"/>
          <w:szCs w:val="32"/>
        </w:rPr>
        <w:t>说明</w:t>
      </w:r>
      <w:r>
        <w:rPr>
          <w:rFonts w:hint="eastAsia" w:ascii="仿宋_GB2312" w:hAnsi="仿宋_GB2312" w:eastAsia="仿宋_GB2312" w:cs="仿宋_GB2312"/>
          <w:color w:val="000000"/>
          <w:sz w:val="32"/>
          <w:szCs w:val="32"/>
        </w:rPr>
        <w:t>教学质量评价机制是否健全、是否涵盖各个教学环节、评价的方面（学生、专家、校友、用人单位等）是否全面、分析评价渠道和方式是否可行。</w:t>
      </w:r>
      <w:r>
        <w:rPr>
          <w:rFonts w:hint="eastAsia" w:ascii="仿宋_GB2312" w:hAnsi="仿宋_GB2312" w:eastAsia="仿宋_GB2312" w:cs="仿宋_GB2312"/>
          <w:sz w:val="32"/>
          <w:szCs w:val="32"/>
        </w:rPr>
        <w:t>关注持续改进的质量监控体系。</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（三）专业特色和优势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根据专业自身发展及国际交流情况，</w:t>
      </w:r>
      <w:r>
        <w:rPr>
          <w:rFonts w:hint="eastAsia" w:ascii="仿宋_GB2312" w:hAnsi="仿宋_GB2312" w:eastAsia="仿宋_GB2312" w:cs="仿宋_GB2312"/>
          <w:color w:val="000000"/>
          <w:sz w:val="32"/>
          <w:szCs w:val="32"/>
        </w:rPr>
        <w:t>在实践中培育和凝练出的专业特色和优势</w:t>
      </w:r>
      <w:r>
        <w:rPr>
          <w:rFonts w:hint="eastAsia" w:ascii="仿宋_GB2312" w:hAnsi="仿宋_GB2312" w:eastAsia="仿宋_GB2312" w:cs="仿宋_GB2312"/>
          <w:sz w:val="32"/>
          <w:szCs w:val="32"/>
        </w:rPr>
        <w:t>，提供案例支撑。</w:t>
      </w:r>
    </w:p>
    <w:p>
      <w:pPr>
        <w:spacing w:line="560" w:lineRule="exact"/>
        <w:ind w:firstLine="643" w:firstLineChars="200"/>
        <w:rPr>
          <w:rFonts w:hint="eastAsia" w:ascii="楷体" w:hAnsi="楷体" w:eastAsia="楷体" w:cs="楷体"/>
          <w:b/>
          <w:sz w:val="32"/>
          <w:szCs w:val="32"/>
        </w:rPr>
      </w:pPr>
      <w:bookmarkStart w:id="0" w:name="_GoBack"/>
      <w:r>
        <w:rPr>
          <w:rFonts w:hint="eastAsia" w:ascii="楷体" w:hAnsi="楷体" w:eastAsia="楷体" w:cs="楷体"/>
          <w:b/>
          <w:sz w:val="32"/>
          <w:szCs w:val="32"/>
        </w:rPr>
        <w:t>（四）存在的问题与整改措施</w:t>
      </w:r>
    </w:p>
    <w:bookmarkEnd w:id="0"/>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总结办学经验，明确薄弱环节，提出改进的措施及发展计划。</w:t>
      </w:r>
    </w:p>
    <w:p>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三、材料要求</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学院按专业编写形成自评报告，自评报告应以纪实性叙述为主，少用或不用修饰性语言，以数据为依据，以材料来证明。自评报告字数控制在10000字左右，其中“存在的问题与整改措施”部分不少于3000字。各专业自评报告须经学院党政联席会议讨论通过。</w:t>
      </w:r>
    </w:p>
    <w:p>
      <w:pPr>
        <w:spacing w:line="560" w:lineRule="exact"/>
        <w:ind w:firstLine="643" w:firstLineChars="200"/>
        <w:rPr>
          <w:rFonts w:hint="eastAsia" w:ascii="仿宋_GB2312" w:hAnsi="仿宋_GB2312" w:eastAsia="仿宋_GB2312" w:cs="仿宋_GB2312"/>
          <w:b/>
          <w:sz w:val="32"/>
          <w:szCs w:val="32"/>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模板</w:t>
      </w:r>
    </w:p>
    <w:p>
      <w:pPr>
        <w:spacing w:line="560" w:lineRule="exact"/>
        <w:jc w:val="center"/>
        <w:rPr>
          <w:rFonts w:hint="eastAsia" w:ascii="宋体" w:hAnsi="宋体" w:cs="宋体"/>
          <w:b/>
          <w:sz w:val="36"/>
          <w:szCs w:val="36"/>
        </w:rPr>
      </w:pPr>
      <w:r>
        <w:rPr>
          <w:rFonts w:hint="eastAsia" w:ascii="宋体" w:hAnsi="宋体" w:cs="宋体"/>
          <w:b/>
          <w:sz w:val="36"/>
          <w:szCs w:val="36"/>
        </w:rPr>
        <w:t>浙江越秀外国语学院XXXX专业自评报告</w:t>
      </w:r>
    </w:p>
    <w:p>
      <w:pPr>
        <w:spacing w:line="560" w:lineRule="exact"/>
        <w:jc w:val="center"/>
        <w:rPr>
          <w:rFonts w:hint="eastAsia" w:ascii="宋体" w:hAnsi="宋体" w:cs="宋体"/>
          <w:b/>
          <w:sz w:val="36"/>
          <w:szCs w:val="36"/>
        </w:rPr>
      </w:pPr>
      <w:r>
        <w:rPr>
          <w:rFonts w:hint="eastAsia" w:ascii="宋体" w:hAnsi="宋体" w:cs="宋体"/>
          <w:b/>
          <w:sz w:val="36"/>
          <w:szCs w:val="36"/>
        </w:rPr>
        <w:t>（黑体、三号加粗、居中）</w:t>
      </w:r>
    </w:p>
    <w:p>
      <w:pPr>
        <w:spacing w:line="560" w:lineRule="exact"/>
        <w:jc w:val="center"/>
        <w:rPr>
          <w:rFonts w:hint="eastAsia" w:ascii="宋体" w:hAnsi="宋体" w:cs="宋体"/>
          <w:b/>
          <w:sz w:val="36"/>
          <w:szCs w:val="36"/>
        </w:rPr>
      </w:pPr>
    </w:p>
    <w:p>
      <w:pPr>
        <w:pStyle w:val="5"/>
        <w:spacing w:line="540" w:lineRule="exact"/>
        <w:ind w:left="420" w:leftChars="200" w:firstLine="643"/>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Cs/>
          <w:sz w:val="32"/>
          <w:szCs w:val="32"/>
        </w:rPr>
        <w:t>专业概况（一级标题，黑体小三，首行缩进2字符）</w:t>
      </w:r>
    </w:p>
    <w:p>
      <w:pPr>
        <w:pStyle w:val="5"/>
        <w:spacing w:line="540" w:lineRule="exact"/>
        <w:ind w:left="420" w:leftChars="200" w:firstLine="643"/>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Cs/>
          <w:sz w:val="32"/>
          <w:szCs w:val="32"/>
        </w:rPr>
        <w:t>专业发展现状</w:t>
      </w:r>
    </w:p>
    <w:p>
      <w:pPr>
        <w:spacing w:line="54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 （一）</w:t>
      </w:r>
      <w:r>
        <w:rPr>
          <w:rFonts w:hint="eastAsia" w:ascii="仿宋_GB2312" w:hAnsi="仿宋_GB2312" w:eastAsia="仿宋_GB2312" w:cs="仿宋_GB2312"/>
          <w:b/>
          <w:sz w:val="32"/>
          <w:szCs w:val="32"/>
        </w:rPr>
        <w:t>定位与目标</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二级标题，仿宋小三，加粗，首行缩进2字符）</w:t>
      </w:r>
    </w:p>
    <w:p>
      <w:pPr>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1.三级标题：仿宋四号首行缩进2字符</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（1）四级标题：仿宋三号首行缩进2字符</w:t>
      </w:r>
    </w:p>
    <w:p>
      <w:pPr>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正文：仿宋四号</w:t>
      </w:r>
    </w:p>
    <w:p>
      <w:pPr>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自然段落：首行缩进2字符</w:t>
      </w:r>
    </w:p>
    <w:p>
      <w:pPr>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行距：固定值28磅</w:t>
      </w:r>
    </w:p>
    <w:p>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（二）师资队伍</w:t>
      </w:r>
    </w:p>
    <w:p>
      <w:pPr>
        <w:spacing w:line="54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（三）教学资源</w:t>
      </w:r>
      <w:r>
        <w:rPr>
          <w:rFonts w:hint="eastAsia" w:ascii="仿宋_GB2312" w:hAnsi="仿宋_GB2312" w:eastAsia="仿宋_GB2312" w:cs="仿宋_GB2312"/>
          <w:bCs/>
          <w:sz w:val="32"/>
          <w:szCs w:val="32"/>
        </w:rPr>
        <w:t>……</w:t>
      </w:r>
    </w:p>
    <w:p>
      <w:pPr>
        <w:spacing w:line="54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Cs/>
          <w:sz w:val="32"/>
          <w:szCs w:val="32"/>
        </w:rPr>
        <w:t>专业特色和优势</w:t>
      </w:r>
    </w:p>
    <w:p>
      <w:pPr>
        <w:spacing w:line="54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Cs/>
          <w:sz w:val="32"/>
          <w:szCs w:val="32"/>
        </w:rPr>
        <w:t>存在问题与整改措施</w:t>
      </w:r>
    </w:p>
    <w:p>
      <w:pPr>
        <w:rPr>
          <w:rFonts w:hint="eastAsia" w:ascii="仿宋_GB2312" w:hAnsi="仿宋_GB2312" w:eastAsia="仿宋_GB2312" w:cs="仿宋_GB2312"/>
          <w:bCs/>
          <w:sz w:val="32"/>
          <w:szCs w:val="32"/>
        </w:rPr>
      </w:pPr>
    </w:p>
    <w:p>
      <w:pPr>
        <w:ind w:firstLine="640" w:firstLineChars="200"/>
        <w:rPr>
          <w:rFonts w:hint="eastAsia" w:ascii="仿宋_GB2312" w:hAnsi="仿宋_GB2312" w:eastAsia="仿宋_GB2312" w:cs="仿宋_GB2312"/>
          <w:sz w:val="32"/>
          <w:szCs w:val="32"/>
        </w:rPr>
      </w:pPr>
    </w:p>
    <w:p>
      <w:pPr>
        <w:ind w:firstLine="640" w:firstLineChars="20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XXXXXXX学院</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年   月   日</w:t>
      </w:r>
    </w:p>
    <w:p>
      <w:pPr>
        <w:rPr>
          <w:rFonts w:hint="eastAsia" w:ascii="仿宋_GB2312" w:hAnsi="仿宋_GB2312" w:eastAsia="仿宋_GB2312" w:cs="仿宋_GB2312"/>
          <w:sz w:val="32"/>
          <w:szCs w:val="32"/>
        </w:rPr>
      </w:pPr>
    </w:p>
    <w:p>
      <w:pPr>
        <w:spacing w:line="360" w:lineRule="auto"/>
        <w:jc w:val="left"/>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04AAD"/>
    <w:rsid w:val="004F0493"/>
    <w:rsid w:val="00501E3A"/>
    <w:rsid w:val="006749AE"/>
    <w:rsid w:val="006A1268"/>
    <w:rsid w:val="00704AAD"/>
    <w:rsid w:val="00A84DCB"/>
    <w:rsid w:val="00DF26A3"/>
    <w:rsid w:val="00E81DAA"/>
    <w:rsid w:val="00F33376"/>
    <w:rsid w:val="0F3B319A"/>
    <w:rsid w:val="103308E3"/>
    <w:rsid w:val="4A042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默认段落字体 Para Char Char Char Char"/>
    <w:basedOn w:val="1"/>
    <w:qFormat/>
    <w:uiPriority w:val="0"/>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360chongzhuang.com</Company>
  <Pages>4</Pages>
  <Words>218</Words>
  <Characters>1249</Characters>
  <Lines>10</Lines>
  <Paragraphs>2</Paragraphs>
  <TotalTime>0</TotalTime>
  <ScaleCrop>false</ScaleCrop>
  <LinksUpToDate>false</LinksUpToDate>
  <CharactersWithSpaces>1465</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2017-03-03T08:07:00Z</dcterms:created>
  <dc:creator>陈珂玮</dc:creator>
  <cp:lastModifiedBy>何晓春</cp:lastModifiedBy>
  <dcterms:modified xsi:type="dcterms:W3CDTF">2018-03-16T08:49:14Z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