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7C5" w:rsidRDefault="009F5887">
      <w:pPr>
        <w:spacing w:line="40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:rsidR="00B137C5" w:rsidRDefault="00B137C5">
      <w:pPr>
        <w:spacing w:line="40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B137C5" w:rsidRDefault="009F5887">
      <w:pPr>
        <w:spacing w:line="400" w:lineRule="exact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 xml:space="preserve"> 浙江越秀外国语学院本科专业评估指标体系（试行）</w:t>
      </w:r>
    </w:p>
    <w:p w:rsidR="00B137C5" w:rsidRDefault="00B137C5">
      <w:pPr>
        <w:spacing w:line="400" w:lineRule="exact"/>
        <w:ind w:firstLine="420"/>
        <w:jc w:val="center"/>
        <w:rPr>
          <w:rFonts w:ascii="宋体" w:hAnsi="宋体" w:cs="宋体"/>
          <w:b/>
          <w:sz w:val="36"/>
          <w:szCs w:val="36"/>
        </w:rPr>
      </w:pPr>
    </w:p>
    <w:tbl>
      <w:tblPr>
        <w:tblW w:w="90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11"/>
        <w:gridCol w:w="2055"/>
        <w:gridCol w:w="5670"/>
      </w:tblGrid>
      <w:tr w:rsidR="00B137C5">
        <w:trPr>
          <w:cantSplit/>
          <w:trHeight w:val="630"/>
          <w:tblHeader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一级指标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二级指标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主要观测点</w:t>
            </w:r>
          </w:p>
        </w:tc>
      </w:tr>
      <w:tr w:rsidR="00B137C5">
        <w:trPr>
          <w:cantSplit/>
          <w:trHeight w:val="840"/>
        </w:trPr>
        <w:tc>
          <w:tcPr>
            <w:tcW w:w="1311" w:type="dxa"/>
            <w:vMerge w:val="restart"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1.定位与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目标</w:t>
            </w:r>
          </w:p>
        </w:tc>
        <w:tc>
          <w:tcPr>
            <w:tcW w:w="2055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1.1专业定位</w:t>
            </w:r>
            <w:bookmarkStart w:id="0" w:name="_GoBack"/>
            <w:bookmarkEnd w:id="0"/>
          </w:p>
        </w:tc>
        <w:tc>
          <w:tcPr>
            <w:tcW w:w="5670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(1）专业定位及确定依据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（2）专业建设规划及确定依据</w:t>
            </w:r>
          </w:p>
        </w:tc>
      </w:tr>
      <w:tr w:rsidR="00B137C5">
        <w:trPr>
          <w:cantSplit/>
          <w:trHeight w:val="840"/>
        </w:trPr>
        <w:tc>
          <w:tcPr>
            <w:tcW w:w="1311" w:type="dxa"/>
            <w:vMerge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7C5" w:rsidRDefault="00B137C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1.2培养目标</w:t>
            </w:r>
          </w:p>
        </w:tc>
        <w:tc>
          <w:tcPr>
            <w:tcW w:w="5670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（1）专业培养目标、标准及确定依据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（2）专业培养方案及确定依据</w:t>
            </w:r>
          </w:p>
        </w:tc>
      </w:tr>
      <w:tr w:rsidR="00B137C5">
        <w:trPr>
          <w:cantSplit/>
          <w:trHeight w:val="825"/>
        </w:trPr>
        <w:tc>
          <w:tcPr>
            <w:tcW w:w="1311" w:type="dxa"/>
            <w:vMerge w:val="restart"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2.师资队伍</w:t>
            </w:r>
          </w:p>
        </w:tc>
        <w:tc>
          <w:tcPr>
            <w:tcW w:w="2055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2.1数量与结构</w:t>
            </w:r>
          </w:p>
        </w:tc>
        <w:tc>
          <w:tcPr>
            <w:tcW w:w="5670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（1）教师队伍的数量与结构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（2）生师比、博士学位教师（双师型教师）比例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（3）兼职教师情况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（4）教师队伍建设规划及发展态势</w:t>
            </w:r>
          </w:p>
        </w:tc>
      </w:tr>
      <w:tr w:rsidR="00B137C5">
        <w:trPr>
          <w:cantSplit/>
          <w:trHeight w:val="840"/>
        </w:trPr>
        <w:tc>
          <w:tcPr>
            <w:tcW w:w="1311" w:type="dxa"/>
            <w:vMerge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7C5" w:rsidRDefault="00B137C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2.2教育教学水平</w:t>
            </w:r>
          </w:p>
        </w:tc>
        <w:tc>
          <w:tcPr>
            <w:tcW w:w="5670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（1）专业负责人及激励机制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（2）专任教师的专业水平与教学能力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（3）师德师风建设措施与效果</w:t>
            </w:r>
          </w:p>
        </w:tc>
      </w:tr>
      <w:tr w:rsidR="00B137C5">
        <w:trPr>
          <w:cantSplit/>
          <w:trHeight w:val="840"/>
        </w:trPr>
        <w:tc>
          <w:tcPr>
            <w:tcW w:w="1311" w:type="dxa"/>
            <w:vMerge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7C5" w:rsidRDefault="00B137C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2.3教师教学投入</w:t>
            </w:r>
          </w:p>
        </w:tc>
        <w:tc>
          <w:tcPr>
            <w:tcW w:w="5670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（1）教授、副教授上课情况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（2）教师开展教学研究、参与教学改革与建设情况</w:t>
            </w:r>
          </w:p>
        </w:tc>
      </w:tr>
      <w:tr w:rsidR="00B137C5">
        <w:trPr>
          <w:cantSplit/>
          <w:trHeight w:val="840"/>
        </w:trPr>
        <w:tc>
          <w:tcPr>
            <w:tcW w:w="1311" w:type="dxa"/>
            <w:vMerge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7C5" w:rsidRDefault="00B137C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2.4教师发展与服务</w:t>
            </w:r>
          </w:p>
        </w:tc>
        <w:tc>
          <w:tcPr>
            <w:tcW w:w="5670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（1）提升教师教学能力和专业水平的政策措施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（2）青年教师助讲培养情况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（3）专任教师国内外访学和挂职锻炼情况</w:t>
            </w:r>
          </w:p>
        </w:tc>
      </w:tr>
      <w:tr w:rsidR="00B137C5">
        <w:trPr>
          <w:cantSplit/>
          <w:trHeight w:val="1140"/>
        </w:trPr>
        <w:tc>
          <w:tcPr>
            <w:tcW w:w="1311" w:type="dxa"/>
            <w:vMerge w:val="restart"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3.教学资源</w:t>
            </w:r>
          </w:p>
        </w:tc>
        <w:tc>
          <w:tcPr>
            <w:tcW w:w="2055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3.1经费投入</w:t>
            </w:r>
          </w:p>
        </w:tc>
        <w:tc>
          <w:tcPr>
            <w:tcW w:w="5670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（1）专业建设经费投入及保障机制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（2）专业建设经费分配方式、比例及使用效益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（3）实践教学经费投入及使用情况</w:t>
            </w:r>
          </w:p>
        </w:tc>
      </w:tr>
      <w:tr w:rsidR="00B137C5">
        <w:trPr>
          <w:cantSplit/>
          <w:trHeight w:val="1110"/>
        </w:trPr>
        <w:tc>
          <w:tcPr>
            <w:tcW w:w="1311" w:type="dxa"/>
            <w:vMerge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7C5" w:rsidRDefault="00B137C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3.2教学设施</w:t>
            </w:r>
          </w:p>
        </w:tc>
        <w:tc>
          <w:tcPr>
            <w:tcW w:w="5670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（1）教学设施满足专业教学需要情况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（2）教学、科研设施的开放程度及利用情况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（3）教学信息化条件及资源建设</w:t>
            </w:r>
          </w:p>
        </w:tc>
      </w:tr>
      <w:tr w:rsidR="00B137C5">
        <w:trPr>
          <w:cantSplit/>
          <w:trHeight w:val="1245"/>
        </w:trPr>
        <w:tc>
          <w:tcPr>
            <w:tcW w:w="1311" w:type="dxa"/>
            <w:vMerge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7C5" w:rsidRDefault="00B137C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3.3课程资源</w:t>
            </w:r>
          </w:p>
        </w:tc>
        <w:tc>
          <w:tcPr>
            <w:tcW w:w="5670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（1）课程建设规划与执行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（2）课程的数量、结构及优质课程资源建设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（3）教材建设与选用</w:t>
            </w:r>
          </w:p>
        </w:tc>
      </w:tr>
      <w:tr w:rsidR="00B137C5">
        <w:trPr>
          <w:cantSplit/>
          <w:trHeight w:val="1110"/>
        </w:trPr>
        <w:tc>
          <w:tcPr>
            <w:tcW w:w="1311" w:type="dxa"/>
            <w:vMerge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7C5" w:rsidRDefault="00B137C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3.4社会资源</w:t>
            </w:r>
          </w:p>
        </w:tc>
        <w:tc>
          <w:tcPr>
            <w:tcW w:w="5670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（1）合作办学、合作育人的措施与效果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（2）共建教学资源情况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（3）社会捐赠情况</w:t>
            </w:r>
          </w:p>
        </w:tc>
      </w:tr>
      <w:tr w:rsidR="00B137C5">
        <w:trPr>
          <w:cantSplit/>
          <w:trHeight w:val="1125"/>
        </w:trPr>
        <w:tc>
          <w:tcPr>
            <w:tcW w:w="1311" w:type="dxa"/>
            <w:vMerge w:val="restart"/>
            <w:tcBorders>
              <w:top w:val="single" w:sz="6" w:space="0" w:color="ECE9D8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4.培养过程</w:t>
            </w:r>
          </w:p>
        </w:tc>
        <w:tc>
          <w:tcPr>
            <w:tcW w:w="2055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4.1培养方案</w:t>
            </w:r>
          </w:p>
        </w:tc>
        <w:tc>
          <w:tcPr>
            <w:tcW w:w="5670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（1）专业培养方案的执行与修订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（2）专业培养方案的师生认知度</w:t>
            </w:r>
          </w:p>
        </w:tc>
      </w:tr>
      <w:tr w:rsidR="00B137C5">
        <w:trPr>
          <w:cantSplit/>
          <w:trHeight w:val="1125"/>
        </w:trPr>
        <w:tc>
          <w:tcPr>
            <w:tcW w:w="1311" w:type="dxa"/>
            <w:vMerge/>
            <w:tcBorders>
              <w:top w:val="single" w:sz="6" w:space="0" w:color="ECE9D8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B137C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4.2教学改革</w:t>
            </w:r>
          </w:p>
        </w:tc>
        <w:tc>
          <w:tcPr>
            <w:tcW w:w="5670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（1）教学改革的总体思路及政策措施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（2）人才培养模式改革，人才培养机制创新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（3）创新创业教育与专业教育融合情况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（4）科研对人才培养的支撑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（5）学生转专业制度及实施情况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（6）教与学评价改革情况</w:t>
            </w:r>
          </w:p>
        </w:tc>
      </w:tr>
      <w:tr w:rsidR="00B137C5">
        <w:trPr>
          <w:cantSplit/>
          <w:trHeight w:val="1410"/>
        </w:trPr>
        <w:tc>
          <w:tcPr>
            <w:tcW w:w="13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137C5" w:rsidRDefault="00B137C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4.3课堂教学</w:t>
            </w:r>
          </w:p>
        </w:tc>
        <w:tc>
          <w:tcPr>
            <w:tcW w:w="5670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（1）教学大纲的制订与执行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（2）课堂教学创新情况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（3）教师教学方法，学生学习方式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（4）考试考核的方式方法及管理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（5）选修课学分占总学分比例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（6）小班化教学及分层分类教学情况</w:t>
            </w:r>
          </w:p>
        </w:tc>
      </w:tr>
      <w:tr w:rsidR="00B137C5">
        <w:trPr>
          <w:cantSplit/>
          <w:trHeight w:val="1125"/>
        </w:trPr>
        <w:tc>
          <w:tcPr>
            <w:tcW w:w="13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137C5" w:rsidRDefault="00B137C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4.4实践教学</w:t>
            </w:r>
          </w:p>
        </w:tc>
        <w:tc>
          <w:tcPr>
            <w:tcW w:w="5670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（1）实践教学体系建设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（2）实验教学改革及学分占比情况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（3）校外实习基地建设情况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（4）实习实训、社会实践、毕业设计（论文）的落实、管理与指导及效果</w:t>
            </w:r>
          </w:p>
        </w:tc>
      </w:tr>
      <w:tr w:rsidR="00B137C5">
        <w:trPr>
          <w:cantSplit/>
          <w:trHeight w:val="1185"/>
        </w:trPr>
        <w:tc>
          <w:tcPr>
            <w:tcW w:w="13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137C5" w:rsidRDefault="00B137C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4.5第二课堂</w:t>
            </w:r>
          </w:p>
        </w:tc>
        <w:tc>
          <w:tcPr>
            <w:tcW w:w="5670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（1）第二课堂育人体系建设与保障措施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（2）社团建设与校园文化、科技活动及育人效果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（3）学生始业教育及身心健康教育情况</w:t>
            </w:r>
          </w:p>
        </w:tc>
      </w:tr>
      <w:tr w:rsidR="00B137C5">
        <w:trPr>
          <w:cantSplit/>
          <w:trHeight w:val="1185"/>
        </w:trPr>
        <w:tc>
          <w:tcPr>
            <w:tcW w:w="13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7C5" w:rsidRDefault="00B137C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4.6开放教学</w:t>
            </w:r>
          </w:p>
        </w:tc>
        <w:tc>
          <w:tcPr>
            <w:tcW w:w="5670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（1）本科生省内外交流学习情况</w:t>
            </w:r>
          </w:p>
          <w:p w:rsidR="00B137C5" w:rsidRDefault="009F5887" w:rsidP="004E71B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="004E71BA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）双语课程建设、留学生教育情况</w:t>
            </w:r>
          </w:p>
        </w:tc>
      </w:tr>
      <w:tr w:rsidR="00B137C5">
        <w:trPr>
          <w:cantSplit/>
          <w:trHeight w:val="780"/>
        </w:trPr>
        <w:tc>
          <w:tcPr>
            <w:tcW w:w="1311" w:type="dxa"/>
            <w:vMerge w:val="restart"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5.学生发展</w:t>
            </w:r>
          </w:p>
        </w:tc>
        <w:tc>
          <w:tcPr>
            <w:tcW w:w="2055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5.1招生及生源情况</w:t>
            </w:r>
          </w:p>
        </w:tc>
        <w:tc>
          <w:tcPr>
            <w:tcW w:w="5670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（1）专业生源状况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（2）改进生源质量的措施及效果</w:t>
            </w:r>
          </w:p>
        </w:tc>
      </w:tr>
      <w:tr w:rsidR="00B137C5">
        <w:trPr>
          <w:cantSplit/>
          <w:trHeight w:val="975"/>
        </w:trPr>
        <w:tc>
          <w:tcPr>
            <w:tcW w:w="1311" w:type="dxa"/>
            <w:vMerge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7C5" w:rsidRDefault="00B137C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5.2学生指导与服务</w:t>
            </w:r>
          </w:p>
        </w:tc>
        <w:tc>
          <w:tcPr>
            <w:tcW w:w="5670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（1）学生指导与服务的内容及效果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（2）学生指导与服务的组织与条件保障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（3）学生对指导与服务的评价</w:t>
            </w:r>
          </w:p>
        </w:tc>
      </w:tr>
      <w:tr w:rsidR="00B137C5">
        <w:trPr>
          <w:cantSplit/>
          <w:trHeight w:val="1140"/>
        </w:trPr>
        <w:tc>
          <w:tcPr>
            <w:tcW w:w="1311" w:type="dxa"/>
            <w:vMerge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7C5" w:rsidRDefault="00B137C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5.3学风与学习效果</w:t>
            </w:r>
          </w:p>
        </w:tc>
        <w:tc>
          <w:tcPr>
            <w:tcW w:w="5670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（1）严格学生学业管理的措施与效果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（2）学生学业成绩及综合素质表现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（3）学生对自我学习与成长的满意度</w:t>
            </w:r>
          </w:p>
        </w:tc>
      </w:tr>
      <w:tr w:rsidR="00B137C5">
        <w:trPr>
          <w:cantSplit/>
          <w:trHeight w:val="765"/>
        </w:trPr>
        <w:tc>
          <w:tcPr>
            <w:tcW w:w="1311" w:type="dxa"/>
            <w:vMerge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7C5" w:rsidRDefault="00B137C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5.4就业与发展</w:t>
            </w:r>
          </w:p>
        </w:tc>
        <w:tc>
          <w:tcPr>
            <w:tcW w:w="5670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（1）毕业生就业率、创业率、专业对口相关度、起薪水平等职业发展情况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（2）毕业生对母校的满意度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（3）用人单位对毕业生的满意度</w:t>
            </w:r>
          </w:p>
        </w:tc>
      </w:tr>
      <w:tr w:rsidR="00B137C5">
        <w:trPr>
          <w:cantSplit/>
          <w:trHeight w:val="1245"/>
        </w:trPr>
        <w:tc>
          <w:tcPr>
            <w:tcW w:w="1311" w:type="dxa"/>
            <w:vMerge w:val="restart"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6.质量保障</w:t>
            </w:r>
          </w:p>
        </w:tc>
        <w:tc>
          <w:tcPr>
            <w:tcW w:w="2055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6.1教学质量保障体系</w:t>
            </w:r>
          </w:p>
        </w:tc>
        <w:tc>
          <w:tcPr>
            <w:tcW w:w="5670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（1）质量标准建设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（2）质量保障体系的组织、制度建设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（3）基层教学组织建设措施及效果</w:t>
            </w:r>
          </w:p>
        </w:tc>
      </w:tr>
      <w:tr w:rsidR="00B137C5">
        <w:trPr>
          <w:cantSplit/>
          <w:trHeight w:val="765"/>
        </w:trPr>
        <w:tc>
          <w:tcPr>
            <w:tcW w:w="1311" w:type="dxa"/>
            <w:vMerge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7C5" w:rsidRDefault="00B137C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6.2质量监控</w:t>
            </w:r>
          </w:p>
        </w:tc>
        <w:tc>
          <w:tcPr>
            <w:tcW w:w="5670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（1）自我评估及质量监控的形式和效果</w:t>
            </w:r>
          </w:p>
        </w:tc>
      </w:tr>
      <w:tr w:rsidR="00B137C5">
        <w:trPr>
          <w:cantSplit/>
          <w:trHeight w:val="987"/>
        </w:trPr>
        <w:tc>
          <w:tcPr>
            <w:tcW w:w="1311" w:type="dxa"/>
            <w:vMerge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7C5" w:rsidRDefault="00B137C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tcBorders>
              <w:top w:val="single" w:sz="6" w:space="0" w:color="ECE9D8"/>
              <w:left w:val="single" w:sz="6" w:space="0" w:color="ECE9D8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6.3质量改进</w:t>
            </w:r>
          </w:p>
        </w:tc>
        <w:tc>
          <w:tcPr>
            <w:tcW w:w="5670" w:type="dxa"/>
            <w:tcBorders>
              <w:top w:val="single" w:sz="6" w:space="0" w:color="ECE9D8"/>
              <w:left w:val="single" w:sz="6" w:space="0" w:color="ECE9D8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（1）质量改进的途径与方法 </w:t>
            </w:r>
          </w:p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（2）质量改进的效果与评价</w:t>
            </w:r>
          </w:p>
        </w:tc>
      </w:tr>
      <w:tr w:rsidR="00B137C5">
        <w:trPr>
          <w:cantSplit/>
          <w:trHeight w:val="765"/>
        </w:trPr>
        <w:tc>
          <w:tcPr>
            <w:tcW w:w="1311" w:type="dxa"/>
            <w:tcBorders>
              <w:top w:val="single" w:sz="6" w:space="0" w:color="ECE9D8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专业特色和优势</w:t>
            </w:r>
          </w:p>
        </w:tc>
        <w:tc>
          <w:tcPr>
            <w:tcW w:w="7725" w:type="dxa"/>
            <w:gridSpan w:val="2"/>
            <w:tcBorders>
              <w:top w:val="single" w:sz="4" w:space="0" w:color="auto"/>
              <w:left w:val="single" w:sz="6" w:space="0" w:color="ECE9D8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专业建设的优势和特色</w:t>
            </w:r>
          </w:p>
        </w:tc>
      </w:tr>
      <w:tr w:rsidR="00B137C5" w:rsidTr="00B36E1A">
        <w:trPr>
          <w:cantSplit/>
          <w:trHeight w:val="765"/>
        </w:trPr>
        <w:tc>
          <w:tcPr>
            <w:tcW w:w="13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137C5" w:rsidRDefault="009F58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问题诊断的准确性与改进措施的可行性</w:t>
            </w:r>
          </w:p>
        </w:tc>
        <w:tc>
          <w:tcPr>
            <w:tcW w:w="7725" w:type="dxa"/>
            <w:gridSpan w:val="2"/>
            <w:tcBorders>
              <w:top w:val="single" w:sz="4" w:space="0" w:color="auto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37C5" w:rsidRDefault="009F5887" w:rsidP="00B36E1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对专业建设各环节或各相关指标中存在的问题和不足的分析客观、准确、到位，提出的改进措施具有较强的针对性、合理性和预期可达成度。</w:t>
            </w:r>
          </w:p>
        </w:tc>
      </w:tr>
    </w:tbl>
    <w:p w:rsidR="00B137C5" w:rsidRDefault="00B137C5"/>
    <w:sectPr w:rsidR="00B137C5" w:rsidSect="00B13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646" w:rsidRDefault="00962646" w:rsidP="004E71BA">
      <w:r>
        <w:separator/>
      </w:r>
    </w:p>
  </w:endnote>
  <w:endnote w:type="continuationSeparator" w:id="1">
    <w:p w:rsidR="00962646" w:rsidRDefault="00962646" w:rsidP="004E7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646" w:rsidRDefault="00962646" w:rsidP="004E71BA">
      <w:r>
        <w:separator/>
      </w:r>
    </w:p>
  </w:footnote>
  <w:footnote w:type="continuationSeparator" w:id="1">
    <w:p w:rsidR="00962646" w:rsidRDefault="00962646" w:rsidP="004E71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3395"/>
    <w:rsid w:val="004E71BA"/>
    <w:rsid w:val="004F0493"/>
    <w:rsid w:val="00501E3A"/>
    <w:rsid w:val="006749AE"/>
    <w:rsid w:val="006A1268"/>
    <w:rsid w:val="008B33FE"/>
    <w:rsid w:val="00962646"/>
    <w:rsid w:val="009F5887"/>
    <w:rsid w:val="00A84DCB"/>
    <w:rsid w:val="00B137C5"/>
    <w:rsid w:val="00B36E1A"/>
    <w:rsid w:val="00DF26A3"/>
    <w:rsid w:val="00E81DAA"/>
    <w:rsid w:val="00F33376"/>
    <w:rsid w:val="00F33395"/>
    <w:rsid w:val="3C755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7C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CharCharCharChar">
    <w:name w:val="默认段落字体 Para Char Char Char Char"/>
    <w:basedOn w:val="a"/>
    <w:qFormat/>
    <w:rsid w:val="00B137C5"/>
  </w:style>
  <w:style w:type="paragraph" w:styleId="a3">
    <w:name w:val="header"/>
    <w:basedOn w:val="a"/>
    <w:link w:val="Char"/>
    <w:uiPriority w:val="99"/>
    <w:semiHidden/>
    <w:unhideWhenUsed/>
    <w:rsid w:val="004E7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71BA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7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71B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1352</Characters>
  <Application>Microsoft Office Word</Application>
  <DocSecurity>0</DocSecurity>
  <Lines>11</Lines>
  <Paragraphs>3</Paragraphs>
  <ScaleCrop>false</ScaleCrop>
  <Company>360chongzhuang.com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陈珂玮</dc:creator>
  <cp:lastModifiedBy>陈珂玮</cp:lastModifiedBy>
  <cp:revision>3</cp:revision>
  <dcterms:created xsi:type="dcterms:W3CDTF">2017-03-03T08:06:00Z</dcterms:created>
  <dcterms:modified xsi:type="dcterms:W3CDTF">2021-09-07T01:58:00Z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